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статьей 4, частью шестой статьи 12, статьей 82 и частью третьей статьи 101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Я.В.Аненберга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Я.В.Аненберг, отбывающий наказание в виде лишения свободы, просит признать не соответствующими статьям 15, 17 (часть 3), 21 (часть 2), 41 и 55 Конституции Российской Федерации статью 4 «Нормативные правовые акты по вопросам исполнения наказаний», часть шестую статьи 12 «Основные права осужденных», статью 82 «Режим в исправительных учреждениях и его основные требования» и часть третью статьи 101 «Медико-санитарное обеспечение осужденных к лишению свободы» УИК Российской Федерации. По мнению заявителя, оспариваемые законоположения позволяют федеральным органам исполнительной власти без участия законодателя принимать нормативные правовые акты, в 2 частности для служебного пользования, ущемляющие права осужденных; не определяют порядок и количество обысков, которым может подвергаться осужденный, а также условия применения перчаток сотрудником, проводящим обыск.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 УИК Российской Федерации, согласно которой федеральные органы исполнительной власти вправе принимать основанные на федеральном законе нормативные правовые акты по вопросам исполнения наказаний, носит общий характер и не регламентирует порядок и условия отбывания наказания (Определение Конституционного Суда Российской Федерации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