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наева Владимира Николаевича на нарушение его конституционных прав пунктом 1 статьи 130 и пунктом 1 статьи 239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Дун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Дунаев оспаривает конституционность пункта 1 статьи 130 «Недвижимые и движимые вещи» и пункта 1 статьи 2391 «Отчуждение объекта незавершенного строительства, расположенного на земельном участке, находящемся в государственной или муниципальной собственности, в связи с прекращением действия договора аренды такого земельного участка» ГК Российской Федерации. Из представленных материалов и Определения Конституционного Суда Российской Федерации от 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наев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