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«СХП» на нарушение его конституционных прав частью 1 статьи 183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«СХП»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оставленным без изменения судом апелляционной инстанции, удовлетворено заявление юридического лица об индексации денежных сумм, присужденных по делу о взыскании с общества с ограниченной ответственностью «СХП» (далее также – ООО «СХП») долга и неустойки. При этом судом был отклонен довод должника о необходимости осуществления такого рода индексации с даты вступления решения суда в законную силу. Постановлением арбитражного суда кассационной инстанции данные судебные акты были отменены в части и дело в этой части направлено на новое рассмотрение в арбитражный суд первой инстанции. Определением судьи Верховного Суда Российской 2 Федерации отказано в передаче кассационных жалоб на эти судебные акты для рассмотрения в судебном заседании Судебной коллегии по экономическим спорам этого суда. При новом рассмотрении дела определением арбитражного суда, оставленным без изменения судом апелляционной инстанции, заявление взыскателя об индексации присужденных денежных сумм в соответствующей части удовлетворено, притом что довод должника, касающийся момента начала такой индексации, также был отклонен судами. В связи с этим ООО «СХП» оспаривает конституционность части 1 статьи 183 «Индексация присужденных денежных сумм» АПК Российской Федерации и полагает данную норму в части, устанавливающей, что «присужденные денежные суммы индексируются со дня вынесения решения суда», нарушающей статью 46 (часть 1) Конституции Российской Федерации. Помимо этого, заявитель, не представивший доказательств обращения в суды кассационной инстанции с кассационными жалобами на судебные акты, принятые при новом рассмотрении дела, указывает на отсутствие оснований полагать, что позиция судов, включая Верховный Суд Российской Федерации, изменится при его повторном обращении, т.е. фактически просит признать исчерпанными внутригосударственные средства судебной защиты.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«СХП»,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