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Сластнова Александра Евгеньевича на нарушение его конституционных прав пунктом 1 статьи 616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А.Е.Сластнова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кассационной инстанции отменено постановление суда апелляционной инстанции и оставлено в силе определение арбитражного суда, вынесенное в рамках дела о несостоятельности (банкротстве) акционерного общества о признании недействительной сделкой трудового договора, заключенного между должником (работодателем) и гражданином А.Е.Сластновым, применении последствий недействительности сделки. При этом суд исходил, в частности, из того, что трудовые отношения между акционерным обществом и А.Е.Сластновым не устанавливались, а единственной целью заключения трудового договора является получение необоснованной материальной выгоды за счет общества. 2 А.Е.Сластнов оспаривает конституционность пункта 1 статьи 616 Федерального закона от 26 октября 2002 года № 127-ФЗ «О несостоятельности (банкротстве)» о последствиях признания сделки недействительной. По мнению заявителя, данное законоположение противоречит статьям 19 (части 1 и 2), 37 (часть 3), 46 (часть 1), 55 (часть 3) и 751 Конституции Российской Федерации в части, допускающей взыскание с работника должника, признанного банкротом, денежных сумм, полученных им от должника в качестве заработной платы на основании трудового договора, признанного судом недействительным, притом что само наличие трудовых отношений не было опровергнуто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616 Федерального закона «О несостоятельности (банкротстве)» все, что было передано должником или иным лицом за счет должника или в счет исполнения обязательств перед должником, а также изъято у должника по сделке, признанной недействительной в соответствии с главой III1 «Оспаривание сделок должника» указанного Федерального закона, подлежит возврату в конкурсную массу;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приобретения, а также убытки, вызванные последующим изменением стоимости имущества, в соответствии с положениями Гражданского кодекса Российской Федерации об обязательствах, возникающих вследствие неосновательного обогащения. Данные положения, определяющие только последствия признания сделки недействительной, являются элементом правового механизма, гарантирующего защиту имущественных интересов кредиторов, обеспечивающего в числе прочего достижение публично-правовых целей 3 института банкротства, и сами по себе не могут расцениваться как нарушающие конституционные права граждан. Разрешение же вопроса об обоснованности признания недействительным договора, заключенного должником с А.Е.Сластновым, а также установление и оценка фактических обстоятельств, имеющих значение для разрешения конкретного дела,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Сластнова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