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Попока Леонида Степановича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Л.С.Попока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Л.С.Попок оспаривает конституционность следующих нормативных положений: пункта 29 статьи 2 «Основные понятия, используемые в настоящем Федеральном законе», пункта 2 части 8 статьи 15 «Договор теплоснабжения» и части 9 статьи 22 «Порядок ограничения, прекращения подачи тепловой энергии, теплоносителя потребителям в случае ненадлежащего исполнения ими договора теплоснабжения, а также при выявлении бездоговорного потребления тепловой энергии» Федерального закона от 27 июля 2010 года № 190-ФЗ «О теплоснабжении»; 2 подпункта «г» пункта 114 Правил коммерческого учета тепловой энергии, теплоносителя (утверждены Постановлением Правительства Российской Федерации от 18 ноября 2013 года № 1034), абзаца пятого пункта 6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354), пункта 86 Методики осуществления коммерческого учета тепловой энергии, теплоносителя (утверждена приказом Минстроя России от 17 марта 2014 года № 99/пр) и пункта 13 Правил установления и изменения (пересмотра) тепловых нагрузок (утверждены приказом Минрегиона России от 28 декабря 2009 года № 610). Как следует из представленных материалов, решением суда общей юрисдикции (с учетом определения об исправлении описки), оставленным без изменения определением суда апелляционной инстанции, удовлетворены исковые требования к Л.С.Попоку о взыскании задолженности по оплате потребленной тепловой энергии.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в их взаимосвязи противоречат Конституции Российской Федерации, ее статьям 15 (часть 4), 17, 19 (части 1 и 2), 35 (части 1 и 2), 46 (части 1 и 2) и 55, а также статье 26 Международного пакта о гражданских и политических правах, поскольку они, в частности, устанавливают неравенство в порядке определения объемов тепловой энергии для гражданина ввиду отсутствия у него письменного договора ресурсоснабжения, предусматривающего поставку коммунальных ресурсов в нежилое помещение в многоквартирном доме, заключенного с ресурсоснабжающей организацией, закрепляя различные 3 способы определения объема тепловой энергии за коммунальную услугу по горячему водоснабжению.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в конкретном деле оспариваемых положений в их взаимосвязи, а потому в этой части жалоба не может быть признана допустимой.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Попока Леонида Степановича,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