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Беджаняна Геннадия Сергеевича на нарушение его конституционных прав частью третьей статьи 208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Г.С.Беджаняна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апелляционной инстанции в конкурсную массу гражданина Г.С.Беджаняна взысканы денежные средства в иностранной валюте в рублях по курсу Центрального банка Российской Федерации на день исполнения решения суда. Поданное впоследствии заявление Г.С.Беджаняна в лице финансового управляющего об индексации присужденных денежных сумм было удовлетворено судом, с чем не согласился суд апелляционной инстанции, отказав в индексации. Судьи судов кассационной инстанции, в том числе Верховного Суда Российской Федерации, поддержали выводы суда апелляционной инстанции. 2 В связи с этим Г.С.Беджанян оспаривает конституционность части третьей статьи 208 «Индексация присужденных денежных сумм» ГПК Российской Федерации, поскольку применение этой нормы, по смыслу, придаваемому ей правоприменительной практикой, поставлено в зависимость от денежной единицы, в которой выражен долг, взысканный судом.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Беджаняна Геннадия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