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Гребцовой Валентины Евгеньевны на нарушение ее конституционных прав статьями 3907 и 3911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В.Е.Гребцовой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В.Е.Гребцова оспаривает конституционность статей 3907 «Рассмотрение кассационных жалобы, представления» и 3911 «Пересмотр судебных постановлений в порядке надзора» ГПК Российской Федерации. Как следует из представленных материалов, определением судьи Верховного Суда Российской Федерации, с которым согласился заместитель Председателя этого суда, В.Е.Гребцовой отказано в передаче кассационной жалобы на принятые по делу с ее участием судебные постановления для рассмотрения в судебном заседании Судебной коллегии по гражданским делам Верховного Суда Российской Федерации. 2 В связи с этим заявительница полагает, что оспариваемые нормы являются неконституционными, поскольку позволяют судье Верховного Суда Российской Федерации и заместителю Председателя этого суда не изучать содержание кассационной жалобы, отказывать в передаче кассационной жалобы для рассмотрения в судебном заседании судебной коллегии Верховного Суда Российской Федерации, не предусматривают надлежащий контроль работы судей Верховного Суда Российской Федерации, а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Гребцовой Валентины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