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2534-О/2024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«Среднеуральское поисковое бюро» на нарушение его конституционных прав абзацем первым пункта 5 статьи 340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«Среднеуральское поисковое бюро»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«Среднеуральское поисковое бюро» (далее также – ООО «Среднеуральское поисковое бюро») оспаривает конституционность абзаца первого пункта 5 статьи 340 Налогового кодекса Российской Федерации, в соответствии с которым оценка стоимости добытых драгоценных металлов, извлеченных из коренных (рудных), россыпных и техногенных месторождений, производится исходя из сложившихся у налогоплательщика в соответствующем налоговом периоде (а при их отсутствии – в ближайшем из предыдущих налоговых периодов) цен реализации химически чистого 2 металла без учета налога на добавленную стоимость, уменьшенных на расходы налогоплательщика по его аффинажу и доставке (перевозке) до получателя. Как следует из представленных материалов, вступившими в законную силу актами арбитражных судов отказано в удовлетворении заявления ООО «Среднеуральское поисковое бюро» о признании недействительными решений налогового органа в части доначисления ему суммы налога на добычу полезных ископаемых. При этом суды пришли к выводу, что согласно условиям договора на поставку золотосодержащей руды окончательное количество поставляемой руды и количественное содержание золота в руде подлежали установлению на основании акта приема-передачи товарной руды с указанием в нем фактического количества (грамм) химически чистого золота и серебра, содержащегося в партии товара, с учетом окончательных результатов химического анализа. Кроме того, подтверждено, что налогоплательщик в составе золотосодержащей руды в проверяемые периоды фактически произвел отчуждение драгоценного металла, получив выгоду исходя из непосредственного количества химически чистого металла, которое находилось в реализованной партии руды, а следовательно, им неверно определено реализуемое добытое полезное ископаемое, в результате чего занижен размер подлежащего уплате налога. По мнению ООО «Среднеуральское поисковое бюро», оспариваемое законоположение противоречит статье 57 Конституции Российской Федерации, поскольку допускает его произвольное применение к налогоплательщику, реализующему только руду драгоценного металла, а не химически чистые драгоценные металлы в периоды, предшествовавшие изменению толкования судами данной нормы; при этом заявитель указывает на то, что соответствующее законоположение оспаривается им в ином аспекте, чем был обозначен в ранее поданной жалобе, и приводит новые мотивы и доводы.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«Среднеуральское поисковое бюро»,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