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2883-О/2023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Бредихина Александра Анатольевича на нарушение его конституционных прав пунктом 2 статьи 34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А.А.Бредихина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А.А.Бредихин оспаривает конституционность пункта 2 статьи 34 Семейного кодекса Российской Федерации, предусматривающего, что 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2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Как следует из представленных материалов, решением суда общей юрисдикции, оставленным без изменения определением суда апелляционной инстанции, при разделе общего имущества супругов, брак которых расторгнут, среди прочего, за А.А.Бредихиным и гражданкой Б. признаны равные доли в праве собственности на жилое помещение, приобретенное с использованием средств, полученных в результате участия заявителя в накопительно-ипотечной системе жилищного обеспечения военнослужащих. Суд первой инстанции подчеркнул, что возврат кредита осуществляет федеральное государственное казенное учреждение, и сослался на возможность взыскания с Б. половины уплаченных денежных средств в случае, если А.А.Бредихин будет обязан самостоятельно исполнять обязательства по кредитному договору. В передаче кассационной жалобы на данные судебные постановления и определение суда кассационной инстанции, которым они оставлены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оспариваемое положение противоречит статьям 17–19, 55 и 59 Конституции Российской Федерации, поскольку по смыслу, придаваемому ему правоприменительной практикой, оно позволяет считать членом семьи военнослужащего его бывшую супругу, относить к совместной собственности супругов жилое помещение, приобретенное с использованием полученных в рамках накопительно-ипотечной системы жилищного обеспечения военнослужащих денежных средств, притом что кредитное обязательство в период брака полностью исполнено не было, а также при 3 разделе общего имущества супругов, брак которых расторгнут, признавать за ними равные доли в праве собственности на жилое помещение, возлагая исполнение кредитного обязательства на бывшего супруга – военнослужащего.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2 статьи 34 Семейного кодекса Российской Федерации, устанавливающий критерии отнесения имущества к общему имуществу супругов, которое в соответствии с законным режимом их имущества является их совместной собственностью (пункт 1 той же статьи), не препятствует при определении принадлежности того или иного имущества учитывать все имеющие значение для разрешения дела обстоятельства (определения Конституционного Суда Российской Федерации от 14 мая 2018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Бредихина Александра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