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пунктом 1 части первой статьи 134, абзацем вторым статьи 220 и пунктом 5 статьи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оспаривают конституционность взаимосвязанных пункта 1 части первой статьи 134 «Отказ в принятии искового заявления» и абзаца второго статьи 220 «Основания прекращения производства по делу», а также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Как следует из представленных материалов, постановлениями судов первой и апелляционной инстанций, с которыми согласился кассационный суд общей юрисдикции, удовлетворены исковые требования гражданина Ч. к В.Г.Ситолиевой и Е.Л.Часовниковой о разделе наследственного имущества. При этом определением суда первой инстанции В.Г.Ситолиевой было отказано в удовлетворении ходатайства о прекращении производства по делу, в обоснование которого она ссылалась, в частности, на наличие вынесенного в рамках рассмотрения другого дела определения суда о принятии по этому делу обеспечительных мер. Определением судьи Верховного Суда Российской Федерации заявительницам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В.Г.Ситолиевой и Е.Л.Часовниковой, оспариваемые законоположения, в том числе рассматриваемые во взаимосвязи, противоречат статьям 17 (часть 3), 35 (части 1 и 4) и 46 (часть 1) Конституции Российской Федерации, поскольку не предусматривают в качестве основания для отказа в принятии искового заявления или прекращения производства по делу запрещение истцу ранее принятым судебным постановлением совершения действий, являющихся сутью заявленных им исковых требований, а также позволяют судье Верховного Суда Российской Федерации не указывать в принятом им определении нормы права, на нарушение которых ссылается заявитель в кассационной жалобе, и изложенные в этой жалобе доводы.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1 части первой статьи 134 и абзаца второго статьи 220 ГПК Российской Федерации, предписывающие суду отказывать в принятии искового заявления или прекращать производство по делу в случае, 3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судах, призваны исключить возможность рассмотрения судом дел, явно ему не подведомственных, и конституционных прав заявительниц не нарушают. Что касается пункта 5 статьи 3909 ГПК Российской Федерации, то Определением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