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Смирновой Ирины Борисовны на нарушение ее конституционных прав частями 2 и 19 статьи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И.Б.Смирновой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И.Б.Смирнова оспаривает конституционность части 19 статьи 17 «Компетенция общего собрания членов товарищества»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а также части 2 той же статьи как в редакции данного Федерального закона, действовавшей в момент его принятия, так и с учетом 2 изменений, внесенных в него позже, в частности Федеральным законом от 14 июля 2022 года № 312-ФЗ. Из представленных материалов следует, что решением суда общей юрисдикции, с которым согласились суды вышестоящих инстанций, заявительнице отказано в признании недействительным решения общего собрания членов садоводческого некоммерческого товарищества. Суды при этом исходили из того, что порядок созыва, подготовки и проведения собрания нарушен не был, кворум соблюден. По мнению И.Б.Смирновой, оспариваемые законоположения не соответствуют Конституции Российской Федерации, поскольку устанавливают, что большинство голосов, необходимое для принятия решения общего собрания членов товарищества, определяется исходя из общего числа присутствующих на собрании членов товарищества, а не исходя из общего количества членов товарищества.</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подтверждают применение судами в деле с участием заявительницы части 2 статьи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лишь в первоначальной его редакции, без учета позднейших изменений. Что касается иных оспариваемых норм, то данные положения, устанавливающие в рамках дискреции законодателя при регламентации корпоративных отношений необходимый кворум для принятия общим собранием членов товарищества решений, а также квалифицированное большинство для принятия решений по отдельным вопросам, относящимся к исключительной компетенции общего собрания, и порядок его определения, 3 – будучи элементами целостного правового механизма, предназначенного для формирования общей воли собственников земельных участков в границах управляемой товариществом территории, – направлены на обеспечение прав всех участников отношений, связанных с ведением садоводства или огородничества, отвечают их интересам и сами по себе не могут расцениваться как нарушающие в обозначенном в жалобе аспекте конституционные права И.Б.Смирновой. Кроме того, приведенные заявительницей в жалобе доводы (в частности, о том, что выводы судов не соответствуют материалам дела и противоречат друг другу) свидетельствуют о том, что она, формально оспаривая конституционность указанных в жалобе положений, фактически просит проверить правильность их применения судами в деле с ее участием. Между тем такая проверка, предполагающая установление и оценку фактических обстоятельств конкретного дела, не входит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Смирновой Ирины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