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Никоновой Светланы Федоровны на нарушение ее конституционных прав рядом норм Арбитражного процессуального кодекса Российской Федерации и пунктом 2 части 1 статьи 43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С.Ф.Никоновой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С.Ф.Никонова оспаривает конституционность статьи 284 «Порядок рассмотрения дела арбитражным судом кассационной инстанции», части 8 статьи 2916 «Рассмотрение кассационных жалобы, представления в Судебной коллегии Верховного Суда Российской Федерации», статей 2918 «Определение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Федерации» и 327 «Приостановление, возобновление или прекращение исполнительного производства» АПК Российской Федерации, а также пункта 2 части 1 статьи 43 «Прекращение исполнительного 2 производства» Федерального закона от 2 октября 2007 года № 229-ФЗ «Об исполнительном производстве». Как следует из представленных материалов, исполнительное производство, связанное с предоставлением заявительнице (главе крестьянского (фермерского) хозяйства) в аренду относящихся к публичной собственности земельных участков, определением арбитражного суда, оставленным судами вышестоящих инстанций без изменения, прекращено ввиду снятия данных земельных участков с регистрационного учета по причинам, признанным судами независящими от должника. Определением судьи Верховного Суда Российской Федерации, с которым согласился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Никоновой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