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2412-О/2023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Черного Ивана Григорьевича на нарушение его конституционных прав частью первой статьи 100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И.Г.Черного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И.Г.Черный оспаривает конституционность части первой статьи 100 ГПК Российской Федерации, предусматривающей, что 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 Как следует из представленных материалов, апелляционным определением суда общей юрисдикции, оставленным без изменения кассационным судом общей юрисдикции, отменено определение суда первой инстанции об отказе в удовлетворении заявления И.Г.Черного о взыскании судебных расходов на услуги представителя с вынесением нового решения о 2 частичном удовлетворении требований.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гражданским делам Верховного Суда Российской Федерации. По мнению И.Г.Черного, оспариваемое законоположение в силу неопределенности не соответствует статье 46 (часть 1) Конституции Российской Федерации, поскольку позволяет суду, не обладающему специальными знаниями в сфере определения рыночной стоимости юридических услуг, при разрешении вопроса о разумности взыскиваемых судебных расходов существенно и произвольно занижать их сумму, что приводит к нарушению прав лиц, в пользу которых приняты судебные постановления, включая право на эффективное восстановление нарушенных прав посредством правосудия.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Черного Ивана Григорьевича,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