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2879-О/2024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Каурковской Светланы Вячеславовны на нарушение ее конституционных прав частью третьей статьи 2293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С.В.Каурковской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С.В.Каурковская оспаривает конституционность части третьей статьи 2293 (ошибочно упоминаемой в жалобе как статья 229) Трудового кодекса Российской Федерации (в редакции Федерального закона от 2 июля 2021 года № 311-ФЗ), предусматривающей возможность проведения государственным инспектором труда дополнительного расследования в отношении несчастных случаев, расследованных не ранее чем за пять лет до дня наступления обстоятельств, указанных в части второй данной статьи. По мнению заявительницы, оспариваемая норма, примененная в ее деле судами общей юрисдикции, противоречит статьям 8 (часть 1), 17 (часть 3), 18, 2 19 (часть 1), 46 (часть 1) и 55 (часть 3) Конституции Российской Федерации, поскольку исключает возможность проведения дополнительного расследования несчастного случая, произошедшего до внесения изменений в законодательство, если жалоба (заявление) о несогласии с выводами комиссии по расследованию несчастного случая или объективные сведения о нарушении порядка расследования были получены по истечении 5 лет с момента расследования несчастного случая.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Каурковской Светланы Вячеславовны,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