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статьями 328 и 329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статей 328 «Основания для отмены или изменения судебных актов в кассационном порядке» и 329 «Полномочия суда кассационной инстанции» КАС Российской Федерации.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к органам внутренних дел о признании незаконными действий (бездействия) в связи с указанием неверного адреса регистрации в паспорте, выданном взамен утраченного, компенсации морального вреда и возмещении судебных расходов. 2 По мнению заявителя, оспариваемые законоположения не соответствуют Конституции Российской Федерации, поскольку не позволяют суду кассационной инстанции дать иную оценку установленным судами первой и апелляционной инстанций фактическим обстоятельствам и с учетом этого отменить их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