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Кореповой Валентины Пименовны на нарушение ее конституционных прав частью 1 статьи 164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В.П.Кореповой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В.П.Корепова оспаривает конституционность части 1 статьи 164 Жилищного кодекса Российской Федерации, устанавливающей, что при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собственников; при этом все или большинство собственников помещений в таком доме выступают в качестве одной стороны заключаемых договоров. 2 Как следует из представленных материалов, решением суда общей юрисдикции, оставленным без изменения определением суда апелляционной инстанции, отказано в удовлетворении исковых требований ряда граждан, в том числе В.П.Кореповой, о признании незаконным распоряжения в части определения управляющей организации, признании многоквартирного дома находящимся под непосредственным управлением собственников помещений в таком доме, признании договора управления указанным домом незаключенным.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Конституции Российской Федерации, в частности ее статье 55, поскольку оно ограничивает право собственников квартир в многоквартирном доме, количество квартир в котором составляет не более чем тридцать, на самостоятельное, т.е. без привлечения на постоянной основе третьих лиц, выполнение действий по содержанию такого дома и ремонту общего имущества в таком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Кореповой Валентины Пименовны,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