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Ваулина Олега Егоровича на нарушение его конституционных прав главой 22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О.Е.Ваулина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О.Е.Ваулин, которому вступившим в законную силу определением суда было отказано в принятии административного искового заявления о признании незаконными действий сотрудников аппарата суда, связанных с отказом (по причине произошедшего в здании суда пожара) в выдаче судебного акта, оспаривает конституционность главы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КАС Российской Федерации. 2 По мнению заявителя, данная глава нарушает его право на судебную защиту, предусмотренное статьей 46 Конституции Российской Федерации, поскольку исключает оспаривание в судебном порядке действий должностных лиц аппаратов судов.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Ваулина Олега Егоровича,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