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«Невасервис» на нарушение его конституционных прав пунктом 1 статьи 42, пунктом 1 статьи 43 и пунктом 5 статьи 164 Кодекса внутреннего водного транспорта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«Невасервис»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«Невасервис» (далее также – ООО «Невасервис») оспаривает конституционность следующих положений Кодекса внутреннего водного транспорта Российской Федерации: пункта 1 статьи 42, определяющего сферу применения правил главы VII «Возмещение вреда от столкновения судов» данного Кодекса; пункта 1 статьи 43, возлагающего ответственность за причинение убытков на судно, по чьей вине произошло столкновение; 2 пункта 5 статьи 164, закрепляющего двухлетний срок исковой давности по требованиям, возникающим в связи со столкновением судов и с осуществлением спасательной операции. Решением арбитражного суда, оставленным без изменения арбитражными судами вышестоящих инстанций, отказано в удовлетворении иска заявителя и другого юридического лица о возмещении убытков, причиненных в результате транспортного происшествия (соприкосновения речного судна ответчика, нарушившего правила плавания, с речным судном заявителя, ошвартованным у плавучего объекта, принадлежавшего другому истцу). Суды пришли к выводу, что иск предъявлен за пределами двухлетнего срока исковой давности, и отклонили довод истцов о необходимости применения общего трехлетнего срока исковой давности, основанный, в частности, на классификации случившегося транспортного происшествия как удара, а не столкновения судов – в соответствии с Положением по расследованию, классификации и учету транспортных происшествий на внутренних водных путях Российской Федерации (утверждено приказом Министерства транспорта Российской Федерации от 29 декабря 2003 года № 221).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заявителя, оспариваемые положения противоречат статьям 19 (часть 1) и 46 (часть 1) Конституции Российской Федерации в той мере, в какой они как в отдельности, так и во взаимосвязи позволяют применять двухлетний срок исковой давности к требованиям о возмещении убытков, причиненных в результате не столкновения судов, а удара (соприкосновения судна с другим стоящим у берега, причала или на якоре судном).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положения Кодекса внутреннего водного транспорта Российской Федерации не ставят определение используемого законодателем понятия «столкновение судов» в зависимость от формулировок, содержащихся в ведомственных нормативных правовых актах, и не могут рассматриваться как нарушающие конституционные права ООО «Невасервис»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«Невасервис»,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