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Наумова Владимира Михайловича на нарушение его конституционных прав рядом положений Уголовно-процессуального кодекса Российской Федерации и статьей 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В.М.Наумова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4 марта 2024 года гражданину В.М.Наумову, осужденному в 2010 году к пожизненному лишению свободы, возвращена надзорная жалоба с разъяснением, что внесение повторных надзорных жалоб в суд надзорной инстанции, ранее оставивший их без удовлетворения по тем же правовым основаниям, не допускается. Заявитель просит признать взаимосвязанные положения пункта 1 части первой статьи 38918 «Неправильное применение уголовного закона и несправедливость приговора», части первой статьи 4129 «Основания отмены или изменения судебных решений в порядке надзора», главы 481 2 «Производство в суде надзорной инстанции» УПК Российской Федерации и статьи 10 «Обратная сила уголовного закона» УК Российской Федерации не соответствующими статьям 46 (часть 2), 54 и 56 (часть 3) Конституции Российской Федерации. По его мнению, оспариваемые законоположения позволяют суду возвращать без рассмотрения как повторную надзорную жалобу по вопросу о законности учета рецидива при назначении наказания, несмотря на то, что надзорные жалобы по этим же основаниям и доводам ранее не подавались.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Наумова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