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Волосенковой Галины Андреевны на нарушение ее конституционных прав частями первой – четвертой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Г.А.Волосенковой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Г.А.Волосенкова, которой решением мирового судьи, оставленным без изменения судом апелляционной инстанции и кассационным судом общей юрисдикции, было отказано в удовлетворении исковых требований к гражданину И. о взыскании неосновательного обогащения, оспаривает конституционность частей первой – четвертой статьи 67 «Оценка доказательств» ГПК Российской Федерации. По мнению заявительницы, оспариваемые положения не соответствуют статьям 19 (часть 1), 15 (часть 2), 35 (части 1 и 2) и 46 (часть 1) Конституции Российской Федерации, поскольку они допускают возможность отказа в удовлетворении исковых требований только на основании оценки судом представленных ответчиком доказательств.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67 ГПК Российской Федерации закрепляют, среди прочего, что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 (часть первая), а также что никакие доказательства не имеют для суда заранее установленной силы (часть вторая). Дискреционное полномочие суда по оценке доказательств, в том числе с точки зрения их достаточности (часть третья той же статьи), является необходимым для эффективного осуществления правосудия и следует из принципов судейского руководства процессом и самостоятельности судебной власти. Часть же четвертая статьи 67 ГПК Российской Федерации предусматривает дополнительную гарантию прав лиц, участвующих в деле, обязывая суд отразить результаты оценки доказательств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 Данные нормы во взаимосвязи с другими предписаниями названного Кодекса, в том числе закрепленными в части второй его статьи 12, статье 195 и части четвертой статьи 198, обязывающими суд принять законное и обоснованное решение по заявленным истцом требованиям, призваны обеспечить принятие судом такого решения и являются процессуальной гарантией права на справедливое судебное разбирательство в условиях соблюдения принципов состязательности и равноправия сторон при осуществлении правосудия.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судами вышестоящих инстанций судебных постановлений и основания для их отмены или изменения. 3 Таким образом, части первая – четвертая статьи 67 ГПК Российской Федерации обеспечивают реализацию задач гражданского судопроизводства по правильному рассмотрению и разрешению гражданских дел и во взаимосвязи с иными положениями этого Кодекса не могут расцениваться в качестве нарушающих конституционные права Г.А.Волосенковой. Заявительница, как следует из ее обращения, ставя вопрос о конституционности оспариваемых законоположений, по существу, выражает несогласие с выводами судов, касающимися установления и оценки фактических обстоятельств ее конкретного дела. Однако разрешение таких вопросов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Волосенковой Галины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