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Чулкина Андрея Сергеевича на нарушение его конституционных прав пунктом 1 статьи 395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А.С.Чулкина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А.С.Чулкин оспаривает конституционность пункта 1 статьи 395 ГК Российской Федерации, согласно которому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Как следует из представленных материалов, решением суда общей юрисдикции, с которым согласились суды вышестоящих инстанций, частично удовлетворены исковые требования А.С.Чулкина, взысканы в его 2 пользу денежные средства в счет уменьшения покупной цены объекта долевого строительства, проценты за пользование чужими денежными средствами, компенсация морального вреда, штраф. По мнению заявителя, оспариваемое положение не соответствует Конституции Российской Федерации, в частности ее статьям 2, 7 (часть 1), 15 (части 1 и 2), 17, 18, 19 (части 1 и 2), 35 (части 1 и 2), 45 (часть 1), 46 (часть 1), 55 (части 1 и 2) и 120, в той мере, в какой оно в системе действующего правового регулирования по смыслу, придаваемому ему правоприменительной практикой, отменяет право потребителя – участника долевого строительства на своевременное удовлетворение его требований и получение разумной компенсации за нарушение права, допускает вследствие неприменения к отношениям между застройщиком и участником долевого строительства специальных норм Закона Российской Федерации от 7 февраля 1992 года № 2300-I «О защите прав потребителей» существенное смягчение ответственности застройщиков, лишает участников долевого строительства гарантий защиты их прав, исключает единообразное толкование и применение законодательства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395 ГК Российской Федерации, являясь элементом механизма возмещения убытков, причиненных кредитору неправомерным пользованием его денежными средствами, фактически устанавливает минимальный предел такого возмещения (определения Конституционного Суда Российской Федерации от 12 ноября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Чулкина Андрея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