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«Деревообрабатывающий комбинат» на нарушение его конституционных прав частью 2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«Деревообрабатывающий комбинат»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«Деревообрабатывающий комбинат» (далее также – ООО «ДОК») оспаривает конституционность части 2 статьи 69 АПК Российской Федерации, согласно которой обстоятельства, установленные вступившим в законную силу судебным актом арбитражного суда по ранее рассмотренному делу, не доказываются вновь при рассмотрении арбитражным судом другого дела, в котором участвуют те же лица. Как следует из представленных материалов, арбитражный суд первой инстанции, в том числе со ссылкой на обстоятельства, установленные вступившими в законную силу судебными актами арбитражного суда по 2 ранее рассмотренным делам, удовлетворил исковые требования Министерства обороны Российской Федерации к ООО «ДОК» о взыскании денежных средств. Апелляционная и кассационная жалобы заявителя на решение арбитражного суда были оставлены без удовлетворения.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суда. По мнению ООО «ДОК», оспариваемое положение ввиду неопределенности формулировки «установленные обстоятельства» допускает возможность его произвольного применения, чем нарушает статьи 8 (часть 2), 15 (часть 2), 19 (часть 1), 34 (часть 1), 35 (часть 1)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 рассмотрении дела на арбитражный суд возлагается обязанность оценить представленные лицами, участвующими в деле, доказательства и определить, какие обстоятельства, имеющие значение для дела, установлены, а какие обстоятельства не установлены (статья 71 и часть 1 статьи 168 АПК Российской Федерации), а также указать в принимаемом решении среди прочего фактические и иные обстоятельства дела, установленные арбитражным судом; 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 (пункты 1 и 2 части 4 статьи 170 указанного Кодекса). С учетом приведенного регулирования часть 2 статьи 69 АПК Российской Федерации не содержит указанной заявителем неопределенности, не предполагает возможности ее произвольного применения и, как конкретизирующая общие положения арбитражного процессуального законодательства об обязательности вступивших в 3 законную силу судебных актов, служит гарантией обеспечения в условиях действия принципа состязательности законности выносимых судом актов, а потому не может расцениваться в качестве нарушающей конституционные права ООО «ДОК» в указанном им аспекте. Установление же оснований для применения оспариваемой нормы в конкретном деле и проверка обоснованности выводов суда, в том числе о преюдициальном значении для рассматриваемого дела ранее принятых судебных актов, не входят в компетенцию Конституционного Суда Российской Федерации, которая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«Деревообрабатывающий комбинат»,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