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Мигаенко Вячеслава Леонидовича на нарушение его конституционных прав частью 2 статьи 28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В.Л.Мигаенко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В.Л.Мигаенко оспаривает конституционность части 2 статьи 28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предусматривающей, в частности, что при ликвидации товарищества недвижимое имущество общего пользования, находящееся в собственности товарищества, безвозмездно передается в общую долевую собственность собственников садовых или огородных земельных участков, расположенных в границах территории садоводства или огородничества. 2 Из представленных материалов следует, что решением суда общей юрисдикции, с которым согласились суды вышестоящих инстанций, заявителю – собственнику земельного участка и бывшему члену садоводческого некоммерческого товарищества, ликвидированного в 2020 году, отказано в удовлетворении ряда административных исковых требований, направленных на понуждение органа местного самоуправления принять меры к постановке водопроводной сети, являвшейся имуществом общего пользования указанного товарищества, на учет в качестве бесхозяйной недвижимой вещи. По мнению В.Л.Мигаенко, оспариваемое законоположение нарушает права и свободы, предусмотренные статьями 7 (часть 1), 40 (часть 1), 42 и 46 (часть 1) Конституции Российской Федерации, поскольку оно, будучи неопределенным, не предоставляет собственникам земельных участков возможности отказаться от получения в собственность недвижимого имущества общего пользования, принадлежавшего ликвидированному товариществу, и тем самым сложить с себя бремя его содержания.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учитывающая назначение имущества общего пользования, призванного (как это следует из положений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в частности из пункта 5 его статьи 3) удовлетворить общие потребности граждан, ведущих садоводство и огородничество в границах обособленной и инфраструктурно-объединенной территории, отвечает их коллективным интересам, выражающимся в том числе в необходимости поддержания такого имущества в надлежащем санитарном и техническом состоянии, обеспечивающем комфортные условия для целевого использования земельных участков – проживания, отдыха и выращивания для собственных нужд сельскохозяйственных культур. 3 Принимая сказанное во внимание, эта норма, обеспечивающая также преемственность имущественных отношений, касающихся содержания и использования названного имущества, сама по себе не может расцениваться как нарушающая конституционные права заявителя в указанном им аспекте. Установление же и исследование фактических обстоятельств, выбор норм, подлежащих применению с учетом этих обстоятельств,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Мигаенко Вячеслава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