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Харитонова Николая Николаевича на нарушение его конституционных прав статьями 1, 2, 6, 7, 8 и 11 Закона Российской Федерации «О приватизации жилищного фонда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Н.Н.Харитонова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Н.Н.Харитонов оспаривает конституционность статей 1, 2, 6, 7, 8 и 11 Закона Российской Федерации от 4 июля 1991 года 1541-I «О приватизации жилищного фонда в Российской Федерации», устанавливающих общие положения, а также основные принципы и условия приватизации жилых помещений.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искового требования Н.Н.Харитонова об установлении юридического факта, признании права собственности в порядке приватизации. В передаче кассационной жалобы на эти судебные 2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Конституции Российской Федерации, ее статьям 27 (часть 1), 35, 40 (часть 1) и 55, поскольку они по смыслу, придаваемому им правоприменительной практикой, позволяют лишать граждан конституционного права приватизировать занимаемые жилые помещения.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Харитонова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