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Дудина Сергея Владимировича на нарушение его конституционных прав частью 1 статьи 128 и частью 1 статьи 218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С.В.Дудина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С.В.Дудин оспаривает конституционность части 1 статьи 128 «Отказ в принятии административного искового заявления» и части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 КАС Российской Федерации. 2 Как следует из представленных материалов, вступившими в законную силу судебными актами судов общей юрисдикции отказано в принятии административного искового заявления С.В.Дудина, связанного с признанием незаконными действий (бездействия) сотрудника суда. При этом суды пришли к выводу, что заявителем фактически оспариваются действия судебного органа (в лице его сотрудника), которые не могут быть предметом самостоятельного судебного разбирательства в порядке административного судопроизводства. По мнению заявителя, оспариваемые законоположения противоречат статьям 17–19, 35, 45, 46 и 126 Конституции Российской Федерации, поскольку препятствуют оспариванию в суд действий должностных лиц аппаратов судов.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права каждого на судебную защиту, как оно сформулировано в статье 46 Конституции Российской Федерации, не следует возможность выбора гражданином по своему усмотрению той или иной процедуры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 законом (определения Конституционного Суда Российской Федерации от 14 декабря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Дудина Сергея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