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Ионовой Оксаны Александровны на нарушение ее конституционных прав частью первой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О.А.Ионовой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О.А.Ионова, которой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для рассмотрения в судебном заседании суда кассационной инстанции, оспаривает конституционность части первой статьи 3907 «Рассмотрение кассационных жалобы, представления» ГПК Российской Федерации. По мнению заявительницы, оспариваемая норма противоречит статьям 17 (части 1 и 2), 18, 45 (часть 1), 46 (часть 1), 55, 56 (часть 3) и 123 (часть 3) Конституции Российской Федерации в той мере, в какой позволяет судье Верховного Суда Российской Федерации оставлять без внимания и не 2 анализировать доводы, изложенные в кассационной жалобе о нарушении нижестоящими судами закона, не гарантирует объективности при решении вопроса о наличии оснований для пересмотра судебных постановлений и не способствует созданию необходимых условий для эффективного восстановления и защиты нарушенных прав, свобод и законных интересов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Установленная частью первой статьи 3907 ГПК Российской Федерации предварительная процедура рассмотрения судьей Верховного Суда Российской Федерации кассационных жалобы, представления призвана обеспечить баланс публичного и частного интересов и исключить явно необоснованные обращения. При разрешении судьей вопроса о наличии либо отсутствии оснований для передачи кассационной жалобы для рассмотрения в судебном заседании суда кассационной инстанции судья обязан проанализировать обжалуемые судебные постановления и изложенные в жалобе доводы о допущенных нарушениях закона и во всяком случае истребовать дело, если на основе изучения представленных материалов у него возникли сомнения в правомерности вынесенного решения, а по результатам рассмотрения истребованного дела, если он полагает, что имеют место предусмотренные законом основания для отмены или изменения обжалуемого вступившего в законную силу судебного акта, – передать кассационную жалобу с делом для рассмотрения в судебном заседании суда кассационной инстанции. Таким образом, оспариваемое законоположение, действующее во взаимосвязи с другими положениями главы 41 ГПК Российской Федерации, призванное обеспечить реализацию правомочий Верховного Суда Российской Федерации по исправлению возможных судебных ошибок, не может расцениваться в качестве нарушающего конституционные права заявительницы в аспекте, указанном в жалобе. 3 Установление того, имелись ли основания для передачи кассационной жалобы О.А.Ионовой для рассмотрения в судебном заседании суда кассационной инстанции,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Ионовой Оксаны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