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Купреевой Елены Евгеньевны на нарушение ее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Е.Е.Купреевой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Е.Е.Купреева оспаривает конституционность статей 8 «Равноправие сторон», 23 «Отвод помощника судьи, секретаря судебного заседания, эксперта, специалиста, переводчика», части 4 статьи 82 «Назначение экспертизы» и статьи 87 «Дополнительная и повторная экспертизы»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2 инстанций, удовлетворены исковые требования муниципального образования к индивидуальному предпринимателю Е.Е.Купреевой о признании нежилого здания самовольной постройкой и ее сносе. В ходе рассмотрения дела стороной ответчика заявлялись ходатайства об отводе двух экспертов, входящих в состав комиссии экспертов, которой было поручено проведение судебной строительно-технической экспертизы, и о проведении повторной экспертизы. В удовлетворении данных ходатайств арбитражным судом было отказано.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Е.Е.Купреева просит проверить конституционность оспариваемых законоположений, указывая, что арбитражным судом не была доведена до нее информация о квалификации и образовании одного из экспертов, проводивших назначенную судом экспертизу, в связи с чем она была лишена возможности заявить отвод этому эксперту, что привело к нарушению ее прав, гарантированных статьями 19, 23, 24, 45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8, 23, часть 4 статьи 82 и статья 87 АПК Российской Федерации не предполагают возможности их произвольного применения, в том числе в части обязанности арбитражного суда при поручении проведения экспертизы лицу, не являющемуся государственным судебным экспертом, выяснить сведения о его образовании, специальности, стаже работы, занимаемой должности и указать их в определении о назначении экспертизы (пункт 2 сохраняющего свою силу постановления Пленума Высшего Арбитражного Суда Российской Федерации от 4 апреля 2014 3 года № 23 «О некоторых вопросах практики применения арбитражными судами законодательства об экспертизе»), и не препятствуют стороне дела заявить отвод эксперту при наличии для этого предусмотренных законом оснований. Оспариваемые законоположения – в условиях действия принципов равноправия и состязательности сторон – призваны обеспечить возможность установления действительных обстоятельств конкретного дела в целях вынесения законного и обоснованного судебного акта и не могут расцениваться в качестве нарушающих конституционные права заявительницы. Проверка же соблюдения арбитражным судом процедуры назначения по делу с участием Е.Е.Купреевой судебной экспертизы, а также правильности оценки им доказательств, в том числе заключения комиссии экспертов, на что фактически направлены доводы жалобы заявительницы,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Купреевой Елены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