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«Газпром трансгаз Саратов» на нарушение его конституционных прав взаимосвязанными положениями статьи 15, пункта 1 статьи 1064, статьи 1072, пункта 1 статьи 1079 Гражданского кодекса Российской Федерации и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«Газпром трансгаз Саратов»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трансгаз Саратов» (далее также – ООО «Газпром трансгаз Саратов», общество) оспаривает конституционность взаимосвязанных положений статьи 15 «Возмещение убытков», пункта 1 статьи 1064 «Общие основания ответственности за причинение вреда», статьи 1072 «Возмещение вреда лицом, застраховавшим свою ответственность», пункта 1 статьи 1079 «Ответственность за вред, причиненный деятельностью, создающей 2 повышенную опасность для окружающих» ГК Российской Федерации и статьи 12 «Порядок осуществления страхового возмещения причиненного потерпевшему вреда» Федерального закона от 25 апреля 2002 года № 40-ФЗ «Об обязательном страховании гражданской ответственности владельцев транспортных средств». Решением суда общей юрисдикции, оставленным без изменения судами вышестоящих инстанций, удовлетворены предъявленные к ООО «Газпром трансгаз Саратов» требования гражданина С. о взыскании денежных средств, в том числе о возмещении ущерба, причиненного в результате дорожно-транспортного происшествия, в размере разницы между стоимостью восстановительного ремонта поврежденного автомобиля (определенной без учета износа комплектующих изделий) и выплаченной суммой страхового возмещения (определенной с учетом износа комплектующих изделий), недостаточной для полного возмещения ущерба. Определением судьи Верховного Суда Российской Федерации отказано в передаче кассационной жалобы ООО «Газпром трансгаз Саратов» для рассмотрения в судебном заседании суда кассационной инстанции. По мнению заявителя, оспариваемые положения не соответствуют статьям 1, 7 и 15 Конституции Российской Федерации в той мере, в какой по смыслу, придаваемому им правоприменительной практикой, они позволяют потерпевшему взыскивать с причинителя вреда разницу между выплаченным страховым возмещением и фактическим размером ущерба в случаях, когда фактический размер ущерба не превышает пределов страховой суммы, установленных Федеральным законом «Об обязательном страховании гражданской ответственности владельцев транспортных средств».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«Газпром трансгаз Саратов»,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