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Терентьевой Елены Павловны на нарушение ее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Е.П.Терентьевой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Е.П.Терентьева, которой решением суда общей юрисдикции, с которым согласились суды вышестоящих инстанций, отказано в удовлетворении исковых требований о признании недействительным в части договора купли-продажи недвижимого имущества, применении последствий недействительности сделки, признании права отсутствующим, снятии здания с кадастрового учета, оспаривает конституционность статей 1 «Основные начала гражданского законодательства», 10 «Пределы осуществления гражданских прав», 130 «Недвижимые и движимые вещи», 166 «Оспоримые и ничтожные сделки», 168 «Недействительность сделки, нарушающей требования закона или иного правового акта», 169 «Недействительность сделки, совершенной с целью, 2 противной основам правопорядка или нравственности», 170 «Недействительность мнимой и притворной сделок» и 235 «Основания прекращения права собственности» ГК Российской Федерации, а также статьи 14 «Состав суда» и пункта 1 части четвертой статьи 3797 «Основания для отмены или изменения судебных постановлений кассационным судом общей юрисдикции» ГПК Российской Федерации. По мнению Е.П.Терентьевой, оспариваемые положения Гражданского кодекса Российской Федерации в их взаимосвязи не соответствуют Конституции Российской Федерации в той мере, в какой они не предусматривают наличия у гражданина, осуществившего возведение объекта недвижимости и его государственную регистрацию в упрощенном порядке – с учетом положений статьи 253 «Особенности государственной регистрации права собственности на некоторые создаваемые или созданные объекты недвижимого имущества» (утратила силу с 1 января 2017 года) ранее действовавшего Федерального закона от 21 июля 1997 года № 122-ФЗ «О государственной регистрации прав на недвижимое имущество и сделок с ним», – законного интереса в оспаривании сделки по продаже не существующего на момент ее заключения здания, право собственности на которое было зарегистрировано незаконно, о чем гражданину не было известно. Неконституционность же оспариваемых положений Гражданского процессуального кодекса Российской Федерации Е.П.Терентьева усматривает в том, что они позволяют не расценивать в качестве незаконного состав суда в случае, когда имело место принятие дела к производству одним судьей, а его рассмотрение – другим. Заявительница также ставит в жалобе ряд других вопросов, не связанных непосредственно с проверкой конституционности нормативных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Терентьевой Елены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