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Бородихиной Людмилы Васильевны на нарушение ее конституционных прав пунктом 3 части четвертой статьи 392 Гражданского процессуального кодекса Российской Федерации во взаимосвязи с пунктом 7 части третьей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Л.В.Бородихиной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Л.В.Бородихина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во взаимосвязи с пунктом 7 части третьей статьи 79 «Юридическая сила решения» Федерального конституционного закона от 21 июля 1994 года № 1-ФКЗ «О Конституционном Суде Российской Федерации». 2 Апелляционным определением от 13 апреля 2021 года, оставленным без изменения определением кассационного суда общей юрисдикции от 3 марта 2022 года, удовлетворено заявление гражданина Г. о пересмотре по новому обстоятельству определения суда апелляционной инстанции от 18 февраля 2020 года по вопросу об индексации присужденных Г. с Л.В.Бородихиной денежных сумм. При этом в качестве нового обстоятельства суд апелляционной инстанции расценил вынесение Конституционным Судом Российской Федерации Постановления от 12 января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четвертой статьи 392 ГПК Российской Федерации – рассматриваемый с учетом предписаний части третьей статьи 79 3 Федерального конституционного закона «О Конституционном Суде Российской Федерации», устанавливающих случаи, когда решения судов и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исполнению), в том числе во взаимосвязи с ее пунктом 7, – выступает дополнительной процессуальной гарантией защиты прав и охраняемых законом интересов участников гражданских процессуальных отношений. Соответственно, оспариваемые нормы не могут рассматриваться в качестве нарушающих конституционные права Л.В.Бородихиной. Разрешение же вопроса о том, имелись ли основания для отмены судебных постановлений по конкретному делу,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Бородихиной Людмилы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