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2, частью первой статьи 22, статьей 56 и частью третьей статьи 226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статьи 2 «Задачи гражданского судопроизводства», части первой статьи 22 «Подсудность гражданских дел», статьи 56 «Обязанность доказывания» и части третьей статьи 226 «Частные определения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В.А.Дорохину отказано в удовлетворении исковых требований к юридическому лицу о признании действий ответчика незаконными и возложении обязанности осуществить действия по восстановлению права путем выплаты компенсации. 2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В.А.Дорохина, оспариваемые законоположения противоречат Конституции Российской Федерации, ее статьям 1 (часть 1), 2, 6 (часть 2), 15 (часть 2), 17, 18, 45 (часть 1), 46 (части 1 и 2), 47 (часть 1), 52, 53, 118 (часть 2), 120 и 123 (часть 3), поскольку позволяют суду рассматривать в порядке гражданского судопроизводства вопросы, подлежащие разрешению в порядке уголовного судопроизводства, возлагать на сторону гражданского спора обязанность по доказыванию обстоятельств, касающихся события преступления, а также не обязывают суд при обнаружении в действиях стороны, других участников процесса, должностного или иного лица признаков преступления сообщать об этом в органы дознания или предварительного следствия.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судом в его конкретном деле части третьей статьи 226 ГПК Российской Федерации, а потому его жалоба в этой части, как не отвечающая критерию допустимости обращений в Положения статьи 2, части первой статьи 22 и статьи 56 ГПК Российской Федерации определяют задачи гражданского судопроизводства и устанавливают правила о подсудности гражданских дел и обязанности доказывания. 3 Данные нормы действуют во взаимосвязи с предписаниями пункта 1 части первой статьи 134 и абзаца второго статьи 220 ГПК Российской Федерации, исключающими рассмотрение заявления в порядке гражданского судопроизводства, если оно подлежит рассмотрению в порядке уголовного судопроизводства, и, по общему правилу, не предполагают возможности возложения на стороны гражданского дела обязанности по доказыванию обстоятельств, кроме тех, на которые они ссылаются как на основания своих требований и возражений. Таким образом, оспариваемые законоположения призваны обеспечить возможность реализации статей 46, 47 и 123 Конституции Российской Федерации и не могут расцениваться в качестве нарушающих конституционные права заявителя в указанном им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