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следователя гражданину А.Н.Малинину отказано в возбуждении уголовного дела. Не согласившись с указанным решением, заявитель оспорил его в порядке статьи 125 «Судебный порядок рассмотрения жалоб» УПК Российской Федерации. Постановлением судьи в удовлетворении жалобы отказано. С данным решением согласились суды вышестоящих инстанций. В этой связи заявитель просит признать статью 125 УПК Российской Федерации не соответствующей Конституции Российской Федерации в той мере, в какой она по смыслу, придаваемому ей правоприменительной практикой, позволяет судам отказывать в удовлетворении жалобы, поданной в 2 порядке статьи 125 УПК Российской Федерации, без исследования и оценки документов, которые не были известны следователю при вынесении постановления об отказе в возбуждении уголовного дела, а также не давать правовую оценку собранным материалам относительно их полноты и содержания сведений, имеющих значение для установления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