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Галицкого Дениса Григорьевича на нарушение его конституционных прав частью 1 статьи 218, частью 9 статьи 226 и пунктом 1 части 2 статьи 227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Д.Г.Галицкого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Д.Г.Галицкий оспаривает конституционность части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части 9 статьи 226 «Судебное разбирательство по административным делам об оспаривании решений, 2 действий (бездействия) органов, организаций, лиц, наделенных государственными или иными публичными полномочиями» и пункта 1 части 2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Как следует из представленных материалов, решением суда общей юрисдикции, с которым согласились суды вышестоящих инстанций, заявителю отказано в удовлетворении его требования к Министерству информационного развития и связи Пермского края о признании незаконным бездействия, выразившегося в отсутствии публикации в сети Интернет нормативных правовых актов государственных органов Пермского края в текстовом (машиночитаемом) формате. По мнению заявителя, оспариваемые законоположения нарушают его право на судебную защиту, а потому противоречат статьям 18, 21 (часть 1), 39 (часть 1), 46 (части 1 и 2) и 55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27 февраля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Галицкого Дениса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