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«Престиж» на нарушение его конституционных прав статьями 130, 131 и 222 Гражданского кодекса Российской Федерации, статьей 3271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«Престиж»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«Престиж» (далее также – Общество) оспаривает конституционность статей 130 «Недвижимые и движимые вещи», 131 «Государственная регистрация недвижимости» и 222 «Самовольная постройка» ГК Российской Федерации, статьи 3271 «Пределы рассмотрения дела в суде апелляционной инстанции» ГПК Российской Федерации. Как следует из представленных материалов, апелляционным определением суда общей юрисдикции, с которым согласились суды кассационной инстанции, заявителю отказано в удовлетворении исковых 2 требований о признании в силу приобретательной давности (статья 234 ГК Российской Федерации) права собственности на объекты недвижимости (гараж и артезианскую скважину), расположенные на арендованном Обществом земельном участке. Суды среди прочего указали на недоказанность добросовестного владения истцом спорным имуществом и сослались на вступившее в законную силу решение арбитражного суда, предписывающее Обществу освободить земельный участок от всех расположенных на нем построек. По мнению Общества, оспариваемые законоположения не соответствуют Конституции Российской Федерации, ее статьям 8 (часть 2), 15 (часть 2), 17 (части 1 и 2), 19 (часть 1), 35 (части 1 и 2), 46 (части 1 и 2), 55 (часть 3) и 123 (часть 3), поскольку они лишают юридических лиц возможности зарегистрировать свое право собственности на объекты недвижимого имущества, возведенные до вступления в силу части первой Гражданского кодекса Российской Федерации (1 января 1995 года), и позволяют суду апелляционной инстанции рассматривать жалобы, не отвечающие нормам процессуального законодательства, разрешать требования, которые сторонами не были заявлены.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«Престиж»,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