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Волонцевича Владимира Викторовича на нарушение его конституционных прав статьями 323 и 324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В.В.Волонцевича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В.В.Волонцевич оспаривает конституционность статей 323 «Изучение кассационных жалобы, представления судьей Верховного Суда Российской Федерации» и 324 «Отказ в передаче кассационных жалобы, представления для рассмотрения в судебном заседании Верховного Суда Российской Федерации» КАС Российской Федерации. Как следует из представленных материалов, в отношении В.В.Волонцевича было возбуждено исполнительное производство, в рамках которого изъято принадлежащее ему транспортное средство. Полагая, что такое изъятие было совершено незаконно, заявитель обратился в суд с 2 административным исковым заявлением об оспаривании соответствующих действий (бездействия) и решений судебных приставов-исполнителей. Решением районного суда, оставленным без изменения вышестоящими судами, заявителю было отказано в удовлетворении его требований.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административным делам Верховного Суда Российской Федерации. Заявитель полагает, что суды произвольно рассмотрели его дело, в частности не выяснили все фактические обстоятельства, не приняли во внимание доводы административного истца, не исследовали доказательства. Исходя из этого он просит признать оспариваемые законоположения не соответствующими статьям 4 (часть 2), 19 (часть 1), 46 (часть 1) и 120 (часть 1) Конституции Российской Федерации, поскольку они позволяют отказывать в передаче жалобы для рассмотрения в судебном заседании суда кассационной инстанции, несмотря на допущенные, по мнению заявителя, нарушения при разрешении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323 и 324 КАС Российской Федерации предусматривают порядок изучения кассационных жалобы, представления судьей Верховного Суда Российской Федерации, устанавливают виды решений, принимаемых по результатам их изучения, и закрепляют содержание таких решений. Указанные законоположения, действуя во взаимосвязи с иными нормами данного Кодекса, обеспечивают правильное и своевременное рассмотрение и разрешение административных дел и допускают возможность отказа в передаче кассационной жалобы для рассмотрения в судебном заседании суда кассационной инстанции только в случае, если отсутствуют основания для пересмотра судебных актов в кассационном порядке – существенные нарушения норм материального права или норм 3 процессуального права, которые повлияли или могут повлиять на исход административного дела и без устранения которых невозможны восстановление и защита нарушенных прав, свобод и законных интересов, а также защита охраняемых законом публичных интересов (пункт 1 части 3 статьи 323 и часть 1 статьи 328). Таким образом, оспариваемые законоположения не предполагают возможности их произвольного применения и потому не могут рассматриваться как нарушающие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Волонцевича Владимира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