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Скубака Владимира Петровича на нарушение его конституционных прав статьей 34 Семейного кодекса Российской Федерации и статьей 15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В.П.Скубака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В.П.Скубак оспаривает конституционность статьи 34 «Совместная собственность супругов» Семейного кодекса Российской Федерации и статьи 15 «Право на жилище» Федерального закона от 27 мая 1998 года № 76-ФЗ «О статусе военнослужащих». Как следует из представленных материалов,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среди прочего, за бывшей супругой В.П.Скубака признана доля в праве собственности на жилой дом и земельный участок, приобретенные с 2 использованием субсидии, предоставленной заявителю как военнослужащему для приобретения или строительства жилого помещения. Суд первой инстанции, среди прочего, сослался на решение о предоставлении субсидии В.П.Скубаку и члену его семьи (супруге) и подчеркнул, что размер жилищной субсидии рассчитывается с учетом количества членов семьи военнослужащего.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статье 59 Конституции Российской Федерации, поскольку они позволяют с помощью положений семейного законодательства изменять содержание прав и социальных гарантий военнослужащих и граждан, уволенных с военной службы.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Скубака Владимира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