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Сузгаева Максима Валерьевича на нарушение его конституционных прав пунктом 3 статьи 382, а также пунктами 1 и 2 статьи 385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М.В.Сузгаева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М.В.Сузгаев оспаривает конституционность пункта 3 статьи 382 «Основания и порядок перехода прав кредитора к другому лицу», а также пунктов 1 и 2 статьи 385 «Уведомление должника о переходе права»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М.В.Сузгаеву отказано в удовлетворении исковых требований к страховой организации о взыскании страхового возмещения и неустойки. В обоснование иска было среди прочего указано, что требование к страховой 2 организации уступлено гражданином Б. заявителю, уведомление об этом представлено в данную организацию. Суд пришел к выводу, что обязательство исполнено ответчиком надлежащему лицу – Б. (первоначальному кредитору). По мнению М.В.Сузгаева, оспариваемые нормы противоречат статьям 17 (часть 3) и 37 (части 1 и 2) Конституции Российской Федерации в той мере, в какой они предоставляют право должнику не исполнять обязательства новому кредитору независимо от состоявшейся уступки требования и получения должником соответствующего уведомления об этом, позволяют произвольно ограничивать доказательства перехода требования, устанавливая критерии достоверности идентификации нового кредитора, а также произвольно определять срок уведомления нового кредитора об уступке требования и применять данный срок, рассматривая его в качестве разумного.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направлены на обеспечение баланса интересов участников гражданских правоотношений при уступке требования и на достижение необходимой определенности в этих правоотношениях и, рассматриваемые во взаимосвязи с пунктом 3 статьи 3891 ГК Российской о том, что если иное не предусмотрено договором, цедент обязан передать цессионарию все полученное от должника в счет уступленного требования, не могут расцениваться как нарушающие перечисленные в жалобе конституционные права заявителя, который не лишен возможности истребовать полученное первоначальным кредитором исполнение при наличии к тому оснований. Кроме того, суд в деле с участием М.В.Сузгаева пришел к выводу, что заявление, подтверждающее переход требования страхового возмещения истцу, в адрес страховой компании в разумный срок от первоначального кредитора не поступило. 3 Установление же и исследование фактических обстоятельств дела, включая разрешение в конкретном деле вопросов о том, был ли должник уведомлен о переходе требования, было ли исполнение обязательства, произведенное первоначальному кредитору, надлежащим, а также проверка правильности применения норм права с учетом данных обстоятельств, на что, по существу, направлена жалоба М.В.Сузгаева, не относятся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Сузгаева Максима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