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Балаяна Гагика Бориковича на нарушение его конституционных прав рядом положений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Г.Б.Балаяна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Г.Б.Балаян оспаривает конституционность части 4 статьи 69 «Основания освобождения от доказывания», пункта 1 части 4 статьи 170 «Содержание решения», пункта 12 части 2 статьи 271 «Постановление арбитражного суда апелляционной инстанции», пунктов 9, 12 части 2 статьи 289 «Постановление арбитражного суда кассационной инстанции» и пункта 5 статьи 2918 «Определение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Федерации» АПК Российской Федерации. 2 Определением арбитражного суда, оставленным без изменения арбитражными судами вышестоящих инстанций, удовлетворено заявление финансового управляющего о признании договора купли- продажи автомобиля между юридическим лицом (продавцом) и гражданкой Б. (покупателем) недействительным и о включении автомобиля в конкурсную массу Г.Б.Балаяна. Суды признали оспариваемую сделку прикрывающей приобретение автомобиля должником, приняв в качестве доказательства постановление суда по уголовному делу, подтверждающее, в частности, что правомочия собственника в отношении автомобиля фактически осуществлялись должником. Определением судьи Верховного Суда Российской Федерации отказано в передаче кассационных жалоб Г.Б.Балаяна и Б. для рассмотрения в судебном заседании суда кассационной инстанции. По мнению заявителя, часть 4 статьи 69 АПК Российской Федерации не соответствует статьям 19 (часть 1), 35 (части 1 и 3), 45, 46 (часть 1) и 118 (часть 2) Конституции Российской Федерации в той мере, в какой она по смыслу, придаваемому ей правоприменительной практикой, не позволяет арбитражному суду провести дополнительную проверку обстоятельств, установленных вступившим в законную силу постановлением суда по уголовному делу, даже если у него вызывает сомнения правильность разрешения в уголовном судопроизводстве вопросов о том, имели ли место определенные действия и совершены ли они определенным лицом, а также позволяет суду в рамках уголовного судопроизводства делать выводы о праве собственности на имущество и о недобросовестности его владельца. Иные оспариваемые положения Г.Б.Балаян считает противоречащими статьям 2, 19 (часть 1), 21 (часть 1), 45, 46 (части 1 и 2) и 123 (часть 3) Конституции Российской Федерации, поскольку по смыслу, придаваемому им правоприменительной практикой, они позволяют судам различных инстанций не приводить в принимаемых ими актах мотивов, по которым отклонены доводы лиц, участвующих в деле.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Конституционного Суда Российской Федерации от 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Балаяна Гагика Бориковича,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