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Ждановой Светланы Сергеевны на нарушение ее конституционных прав подпунктом 3 пункта 1 и пунктом 4 статьи 1814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С.С.Ждановой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С.С.Жданова оспаривает конституционность подпункта 3 пункта 1 статьи 1814 ГК Российской Федерации, согласно которому нарушение равенства прав участников гражданско-правового сообщества при проведении заседания общего собрания или заочного голосования является основанием признания недействительным решения собрания, а также пункта 4 той же статьи названного Кодекса, устанавливающего, что 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 2 Из представленных материалов следует, что заявительница (наряду с другими гражданами) обратилась с иском о признании недействительным решения общего собрания собственников помещений в многоквартирном доме. С.С.Жданова отмечает в жалобе, что ее требование было мотивировано тем, что она приняла помещение от застройщика по передаточному акту, проголосовала по поставленным вопросам в повестке дня общего собрания собственников помещений в этом доме до окончания голосования, однако вместо ее волеизъявления в протоколе учтено решение застройщика, который проголосовал до передачи ей помещения. По мнению заявительницы, оспариваемые положения противоречат статьям 15 (часть 1), 17, 19 (части 1 и 2), 35 (части 1 и 2), 45, 46 (часть 1) и 55 Конституции Российской Федерации, поскольку как по буквальному смыслу, так и по смыслу, придаваемому им правоприменительной практикой, позволяя нарушать права отдельных собственников помещений в интересах застройщика, они не обеспечивают равенства прав участников общего собрания собственников помещений в многоквартирном доме.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 направлены на обеспечение баланса прав и интересов участников гражданско-правового сообщества, а также стабильности складывающихся в нем правоотношений и во взаимосвязи с иными нормами Гражданского кодекса Российской Федерации и Жилищного кодекса Российской Федерации о недействительности решения общего собрания преследуют цель выявления их действительной коллективной воли. С учетом этого подпункт 3 пункта 1 и пункт 4 статьи 1814 ГК Российской Федерации не могут рассматриваться в качестве нарушающих в обозначенном в жалобе аспекте конституционные права заявительницы, в деле с участием которой суды исходили из того, что голоса соистцов не могли повлиять на результаты голосования, а принятое решение не влечет для них существенных неблагоприятных последствий. 3 Установление же и оценка фактических обстоятельств, имеющих значение для правильного разрешения конкретного дела, в частности того, были ли допущены лицом, ответственным за проведение общего собрания, нарушения при подсчете голосов, а равно и проверка правильности применения оспариваемых положений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Ждановой Светланы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