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Тищенко Константина Михайловича на нарушение его конституционных прав частью 2 статьи 31, пунктами 1, 2 и 3 части 4 статьи 180, частью 1 статьи 185, пунктом 5 части 2 статьи 311, частью 3 статьи 329 и пунктом 7 части 2 статьи 330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К.М.Тищенко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К.М.Тищенко оспаривает конституционность части 2 статьи 31 «Отвод судьи», пунктов 1, 2 и 3 части 4 статьи 180 «Содержание решения суда», части 1 статьи 185 «Разъяснение решения суда», пункта 5 части 2 статьи 311 «Судебный акт суда апелляционной инстанции», части 3 статьи 329 «Полномочия суда кассационной инстанции» и пункта 7 части 2 статьи 330 «Кассационное определение» КАС Российской Федерации. 2 Как следует из представленных материалов, решением суда общей юрисдикции, с которым согласились вышестоящие суды, К.М.Тищенко было отказано в удовлетворении его административного искового заявления о признании незаконным бездействия Совета при Президенте Российской Федерации по развитию гражданского общества и правам человека. Кроме того, К.М.Тищенко было отказано в разъяснении кассационного определения кассационного суда общей юрисдикции, принятого по данному административному делу, и в удовлетворении ходатайства об отводе судей, которые входили в состав судебной коллегии этого же суда, рассматривавшей заявление о разъяснении указанного кассационного определения. По мнению К.М.Тищенко, оспариваемые законоположения не соответствуют Конституции Российской Федерации, в частности ее статьям 1 (часть 1), 2, 18, 45 (часть 1) и 52, поскольку позволяют судам указывать в судебном решении заведомо ложные сведения и необоснованно отказывать в его разъяснении, а также не обеспечивают отвод судьи при наличии к этому оснований.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право на судебную защиту, как оно сформулировано в статье 46 Конституции Российской Федерации, не свидетельствует о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законами, к числу которых относится Кодекс административного судопроизводства Российской Федерации (определения от 25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Тищенко Константина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