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Масловой Ольги Владимировны на нарушение ее конституционных прав статьями 304 и 338 Гражданского кодекса Российской Федерации, а также статьей 37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О.В.Масловой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О.В.Маслова оспаривает конституционность статей 304 «Защита прав собственника от нарушений, не связанных с лишением владения» и 338 «Владение предметом залога» ГК Российской Федерации, а также статьи 37 «Отчуждение заложенного имущества» Федерального закона от 16 июля 1998 года № 102-ФЗ «Об ипотеке (залоге недвижимости)». Как следует из представленных материалов, в деле о банкротстве гражданки Б. определением арбитражного суда, оставленным без изменения постановлением суда апелляционной инстанции, по заявлению Б. указано на 2 обязанность финансового управляющего устранить препятствия во владении и пользовании жилым домом и земельными участками, заложенными по договору с О.В.Масловой. В передаче кассационной жалобы на акты судов первой и апелляционной инстанций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заявительницы, оспариваемые нормы противоречат Конституции Российской Федерации, в частности ее статьям 35 и 46, поскольку они препятствуют обеспечению сохранности имущества залоговым кредитором. Кроме того, О.В.Маслова утверждает, что в споре должен был быть применен пункт 4 статьи 138 Федерального закона от 26 октября 2002 года № 127-ФЗ «О несостоятельности (банкротстве)», в силу которого порядок и условия обеспечения сохранности предмета залога определяет залоговый кредитор.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304 ГК Российской Федерации призвана устранить нарушения прав собственника или иного владельца, не связанные с лишением владения, и служит защите прав и законных интересов граждан и реализации предписаний статей 17 (часть 3), 35 и 46 Конституции Российской Федерации (определения Конституционного Суда Российской Федерации от 7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Масловой Ольги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