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Галицкого Дениса Григорьевича на нарушение его конституционных прав пунктом 3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Д.Г.Галицкого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Д.Г.Галицкий оспаривает конституционность пункта 3 части 1 статьи 128 КАС Российской Федерации, согласно которому судья отказывает в принятии административного искового заявления в случае, если из административного искового заявления об оспаривании нормативного правового акта, акта, содержащего разъяснения законодательства и обладающего нормативными свойствами, решения или действия (бездействия) не следует, что этими актом, решением или действием (бездействием) нарушаются либо иным образом затрагиваются права, свободы и законные интересы административного истца. 2 Как следует из представленных материалов, определением суда общей юрисдикции, с которым согласились суды вышестоящих инстанций, заявителю отказано в принятии его административного искового заявления к Министерству иностранных дел Российской Федерации о признании незаконными действий по распространению недостоверной информации. По мнению заявителя, оспариваемое положение позволяет разрешать вопрос о том, что действия административного ответчика не затрагивают права и законные интересы административного истца вне судебного заседания, т.е. без принятия административного искового заявления к производству, а потому нарушает статьи 46 (части 1 и 2) и 123 (части 1 и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Галицкого Дениса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