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Гришнова Александра Михайловича на нарушение его конституционных прав пунктами 1 и 2 статьи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А.М.Гришнова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А.М.Гришнов оспаривает конституционность пунктов 1 и 2 статьи 1064 «Общие основания ответственности за причинение вреда» ГК Российской Федерации. Как следует из представленных материалов, постановлением судьи районного суда, вынесенным по результатам нового рассмотрения дела, заявитель был признан виновным в совершении административного правонарушения, предусмотренного частью 2 статьи 12.24 КоАП Российской Федерации. Решением областного суда указанное постановление отменено в связи с существенным нарушением процессуальных требований, 2 предусмотренных данным Кодексом, которое не позволило всесторонне, полно и объективно рассмотреть дело, в том числе в связи с невыполнением указаний вышестоящего суда, направившего дело на новое рассмотрение; производство по делу прекращено в связи с истечением срока давности привлечения к административной ответственности. Впоследствии решением суда общей юрисдикции, с которым согласились суды вышестоящих инстанций, с А.М.Гришнова в пользу гражданина В. взыскана компенсация морального вреда вследствие причинения вреда здоровью В. в результате дорожно-транспортного происшествия, а также убытки в виде понесенных при рассмотрении дела об административном правонарушении расходов на оплату услуг представителя потерпевшего. По мнению заявителя, оспариваемые нормы не соответствуют статьям 45, 46, 49 и 50 (часть 1) Конституции Российской Федерации, поскольку позволяют повторно привлекать к юридической ответственности гражданина несмотря на то, что производство по делу об административном правонарушении, возбужденное по тем же обстоятельствам в отношении этого гражданина, прекращено в связи с истечением срока давности привлечения к административной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Действующее законодательство не связывает наступление ответственности за причинение имущественного вреда исключительно с привлечением его причинителя к уголовно-правовой или административно- правовой ответственности.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Гришнова Александра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