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2047-О/2024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Кучканова Алексея Анатольевича на нарушение его конституционных прав статьей 90, частью восьмой статьи 108 и частью восьмой статьи 109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А.А.Кучканова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А.А.Кучканов, чьи апелляционная и кассационная жалобы на постановление районного суда о продлении ему срока содержания под стражей оставлены судами без удовлетворения, утверждает, что статья 90 «Преюдиция», часть восьмая статьи 108 «Заключение под стражу» и часть восьмая статьи 109 «Сроки содержания под стражей» УПК Российской Федерации противоречат статьям 2, 7 (часть 1), 22 (часть 2), 45 (часть 1) и 55 (часть 3) Конституции Российской Федерации, поскольку позволяют продлевать срок содержания под стражей новым судебным решением еще до вступления в законную силу предыдущего судебного акта, продлившего этот 2 срок, а также наделяют, по мнению заявителя, преюдициальной силой судебное решение о продлении срока содержания под стражей в период его апелляционного обжалования. Кроме того, заявитель ходатайствует о восстановлении пропущенного годичного срока на подачу жалобы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Кучканова Алексея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