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Владимира Владимировича на нарушение его конституционных прав частью 2 статьи 8.14 Закона города Москвы «Кодекс города Москвы об административных правонарушениях»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В.В.Кузнецов оспаривает конституционность части 2 статьи 8.14 Закона города Москвы от 21 ноября 2007 года № 45 «Кодекс города Москвы об административных правонарушениях» (далее – КоАП Москвы), в соответствии с которой неуплата за размещение транспортного средства на платной городской парковке влечет наложение административного штрафа на граждан, должностных лиц и юридических лиц в размере пяти тысяч рублей. Как следует из представленных материалов, постановлением должностного лица Государственного казенного учреждения города Москвы «Администратор Московского парковочного пространства», оставленным без 2 изменения вышестоящим должностным лицом и судами, В.В.Кузнецов как собственник транспортного средства был привлечен к административной ответственности за совершение административного правонарушения, предусмотренного частью 2 статьи 8.14 КоАП Москвы, и ему был назначен административный штраф в размере пяти тысяч рублей. По мнению заявителя, оспариваемое законоположение не соответствует статьям 19 и 54 Конституции Российской Федерации, поскольку устанавливает административный штраф в недифференцированном размере без учета неоплаченного времени нахождения транспортного средства на парковке.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