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2203-О/2024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Набиуллина Явира Явдатовича на нарушение его конституционных прав частью второй статьи 392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Я.Я.Набиуллина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Я.Я.Набиуллин оспаривает конституционность части второй статьи 392 Трудового кодекса Российской Федерации, согласно которой за разрешением индивидуального трудового спора о невыплате или неполной выплате заработной платы и других выплат, причитающихся работнику, в том числе в случае невыплаты или неполной выплаты заработной платы и других выплат, причитающихся работнику при увольнении, он имеет право обратиться в суд в течение одного года со дня установленного срока выплаты указанных сумм. 2 По мнению заявителя, оспариваемая норма, примененная в его деле судами общей юрисдикции, не соответствует статьям 37 и 55 (часть 2) Конституции Российской Федерации, поскольку позволяет ограничивать срок обращения в суд за разрешением индивидуального трудового спора о невыплате или неполной выплате заработной платы и других выплат, причитающихся работнику, одним годом.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Набиуллина Явира Явдатовича,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