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648-О/2024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Гурбановой Валентины Яковлевны на нарушение ее конституционных прав частью третьей статьи 196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В.Я.Гурбановой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В.Я.Гурбанова оспаривает конституционность части третьей статьи 196 «Вопросы, разрешаемые при принятии решения суда»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В.Я.Гурбановой отказано в удовлетворении исковых требований к муниципальному образованию «Город Саратов» и администрации Заводского района этого муниципального образования о взыскании денежных средств в счет возмещения убытков (упущенной выгоды). 2 Определением судьи Верховного Суда Российской Федерации, с которым согласился заместитель Председателя этого суда,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В.Я.Гурбановой, оспариваемое законоположение по смыслу, придаваемому ему в системе действующего правового регулирования сложившейся правоприменительной практикой, противоречит Конституции Российской Федерации, ее статьям 17, 18, 19 (части 1 и 2), 40, 45, 46, 52, 53, 55 (часть 3) и 120, поскольку предоставляет суду ничем не ограниченное право выходить за пределы заявленных истцом требований при рассмотрении дел, в рамках которых оспаривается законность решений, действий (бездействия) органов публичной власти и их должностных лиц. Кроме того, заявительница просит возобновить рассмотрение ее кассационной жалобы в судебном заседании Судебной коллегии по гражданским делам Верховного Суда Российской Федерации.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Часть третья статьи 196 ГПК Российской Федерации прямо обязывает суд принять решение по заявленным истцом требованиям и допускает возможность выйти за пределы заявленных требований только в случаях, предусмотренных федеральным законом. Такое нормативное регулирование вытекает из конституционно значимого принципа диспозитивности, который, в частности, означает, что процессуальные отношения в гражданском судопроизводстве возникают, изменяются и прекращаются главным образом по инициативе непосредственных участников спорного материального правоотношения, имеющих возможность с помощью суда распоряжаться своими процессуальными правами, а также спорным материальным правом. Таким образом, часть третья статьи 196 ГПК Российской Федерации, не предполагающая возможности ее произвольного применения, не может 3 рассматриваться в качестве нарушающей конституционные права В.Я.Гурбановой, в том числе с учетом того, что, как следует из представленных материалов, ею в суде заявлялось требование о взыскании денежных средств, а не об оспаривании решений, действий (бездействия) органов публичной власти и их должностных лиц. Что касается вопроса о возобновлении рассмотрения кассационной жалобы заявительницы, то его разрешение к компетенции Конституционного Суда Российской Федерации, установленной статьей 125 Конституции Российской Федерации и статьей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Гурбановой Валентины Яковлевны,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