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Медесабаль Марины Николаевны на нарушение ее конституционных прав статьями 214 и 2141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М.Н.Медесабаль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районного суда, с которым согласились вышестоящие суды, разрешена отмена постановления следователя о прекращении уголовного преследования гражданки М.Н.Медесабаль. В этой связи М.Н.Медесабаль просит признать не соответствующими статьям 1, 2, 4 (часть 2), 15 (части 1 и 2), 17–19, 45, 46 (часть 1), 49, 50, 52, 54 (часть 1), 55, 751, 120 (часть 1) и 123 (часть 3) Конституции Российской Федерации статьи 214 «Отмена постановления о прекращении уголовного дела или уголовного преследования» и 2141 «Судебный порядок получения разрешения отмены постановления о прекращении уголовного дела или 2 уголовного преследования» УПК Российской Федерации в той мере, в какой они в системе действующего правового регулирования и по смыслу, придаваемому им судебной практикой, позволяют суду разрешить отмену постановления о прекращении уголовного дела или уголовного преследования без надлежащего исследования конкретных, фактических обстоятельств, включая новые сведения, которые ранее не были предметом оценки следователя, прекратившего уголовное дело или уголовное преследование.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Медесабаль Марины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