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Белкина Дмитрия Юрьевича на нарушение его конституционных прав пунктом 1 статьи 121 и пунктом 2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Д.Ю.Белкина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Д.Ю.Белкин оспаривает конституционность пункта 1 статьи 121 «Дисциплинарная ответственность судей» и пункта 2 статьи 16 «Неприкосновенность судьи» Закона Российской Федерации от 26 июня 1992 года № 3132-I «О статусе судей в Российской Федерации». Из представленных материалов следует, что определением суда Д.Ю.Белкину было отказано в принятии административного искового заявления о признании незаконным ответа Высшей квалификационной коллегии судей Российской Федерации на основании пункта 1 части 1 статьи 128 КАС Российской Федерации. 2 По мнению заявителя, оспариваемые законоположения не соответствуют статьям 46 (части 1 и 2) и 76 (часть 3) Конституции Российской Федерации, поскольку не обеспечивают надлежащую процедуру рассмотрения квалификационной коллегией судей жалобы гражданина о совершении судьями дисциплинарных проступков, в том числе связанных с несоблюдением ими требования об обязательности решений Конституционного Суда Российской Федерации, и препятствуют обжалованию решений квалификационной коллегией судей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Белкина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