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в своих жалобах конституционность ряда положений Федерального конституционного закона от 21 июля 1994 года № 1-ФКЗ «О Конституционном Суде Российской Федерации», Гражданского кодекса Российской Федерации, Гражданского процессуального кодекса Российской Федерации, Кодекса административного судопроизводства Российской Федерации, Кодекса Российской Федерации об административных правонарушениях, Уголовно- исполнительного кодекса Российской Федерации, Уголовно-процессуального кодекса Российской Федерации, федеральных законов от 21 ноября 2011 года № 323-ФЗ «Об основах охраны здоровья граждан в Российской Федерации», 2 от 29 ноября 2010 года № 326-ФЗ «Об обязательном медицинском страховании в Российской Федерации», от 17 января 1992 года № 2202-I «О прокуратуре Российской Федерации» и от 15 июля 1995 года № 103-ФЗ «О содержании под стражей подозреваемых и обвиняемых в совершении преступлений».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